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2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5320"/>
        <w:gridCol w:w="3500"/>
      </w:tblGrid>
      <w:tr w:rsidR="008412AA" w:rsidRPr="008412AA" w:rsidTr="008412AA">
        <w:trPr>
          <w:trHeight w:val="300"/>
        </w:trPr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SCHEDA TECNICA PRELIMINARE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DATI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Apparecchiatura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Produttore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Modello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Fornitore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Anno di inizio produzione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Data di costruzione della macchina offerta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proofErr w:type="spellStart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Stao</w:t>
            </w:r>
            <w:proofErr w:type="spellEnd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di provenienza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Codice CIVAB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Codice CND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NORMATIVE E CONFORMITA'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L’apparecchio è conforme alla normativa </w:t>
            </w:r>
            <w:proofErr w:type="spellStart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C.E.I</w:t>
            </w:r>
            <w:proofErr w:type="spellEnd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62.5 Norma Europea EN 60601 – 1 attualmente vigente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L’apparecchio è conforme alla normativa </w:t>
            </w:r>
            <w:proofErr w:type="spellStart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C.E.I</w:t>
            </w:r>
            <w:proofErr w:type="spellEnd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66.5 Norma Europea EN 61010 – 1 attualmente vigente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La conformità indicata ai precedenti punti risulta attestata: 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da marcatura CE 2007/47 “dispositivi medici”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da marcatura CE con riferimento ad altra direttiva/regolamento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Manuali d'uso in italiano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CARATTERISTICHE TECNICHE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Alta sensibilità (concentrazione &gt;1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pM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)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Rumore di fondo &lt; 0.03 RU (RMS);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Dispersione di riferimento &lt; 0.3 RU/min;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Volume di recupero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analita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1.5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μl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>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Controllo della Temperatura con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range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indicativo da 4° a 45°;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Minimizzazione dell’influenza di solventi con alto indice di rifrazione;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Fornitura di tutti gli accessori necessari al corretto e completo funzionamento dell’apparecchiatura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Determinazione della specificità di legame;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Analisi di interazioni in tempo reale tra biomolecole;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12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Individuazione e caratterizzazione dell’interazione di molecole organiche di natura eterogenea (tra cui proteine, acidi nucleici, carboidrati, peptidi) qualsiasi sia il peso molecolare (Nessun limite minimo di peso molecolare);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calcolo della costante di affinità, senza necessità di rigenerazione tra una iniezione e l’altra;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Possibilità di valutare l’interazione fra proteine e strutture complesse quali cellule, batteri e virus.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lastRenderedPageBreak/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determinazione dei parametri termodinamici, per informazioni aggiuntive circa il meccanismo di reazione;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analisi quantitativa della similarità tra campioni sia complessi che semplici (comparabilità dei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sensorgrammi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>);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Determinazione della concentrazione attiva (CFCA,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calibration-free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concentration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analysis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>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Recupero di molecole che hanno interagito con un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ligando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per successivi studi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Supporto dedicato per test di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immunogenicità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e caratterizzazione di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ada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(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anti-drug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antibody)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Fornitura del software dedicato;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Possibilità di avere programmi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preimpostati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per nuovi utilizzatori;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>       Possibilità di personalizzare i programmi per utilizzatori esperti;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8412AA">
              <w:rPr>
                <w:rFonts w:eastAsia="Times New Roman" w:cs="Calibri"/>
                <w:color w:val="000000"/>
                <w:lang w:eastAsia="it-IT"/>
              </w:rPr>
              <w:t>-</w:t>
            </w:r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       Software per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GxP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Pr="008412AA">
              <w:rPr>
                <w:rFonts w:eastAsia="Times New Roman" w:cs="Times New Roman"/>
                <w:color w:val="000000"/>
                <w:lang w:eastAsia="it-IT"/>
              </w:rPr>
              <w:t>compliance</w:t>
            </w:r>
            <w:proofErr w:type="spellEnd"/>
            <w:r w:rsidRPr="008412AA">
              <w:rPr>
                <w:rFonts w:eastAsia="Times New Roman" w:cs="Times New Roman"/>
                <w:color w:val="000000"/>
                <w:lang w:eastAsia="it-IT"/>
              </w:rPr>
              <w:t xml:space="preserve"> (Possibilità di lavorare in GLP/GCP/GMP).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CARATTERISTICHE IMPIANTISTICHE E INSTALLAZIONE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Calibri"/>
                <w:color w:val="000000"/>
                <w:lang w:eastAsia="it-IT"/>
              </w:rPr>
              <w:t>Dimensioni (</w:t>
            </w:r>
            <w:proofErr w:type="spellStart"/>
            <w:r w:rsidRPr="008412AA">
              <w:rPr>
                <w:rFonts w:ascii="Calibri" w:eastAsia="Times New Roman" w:hAnsi="Calibri" w:cs="Calibri"/>
                <w:color w:val="000000"/>
                <w:lang w:eastAsia="it-IT"/>
              </w:rPr>
              <w:t>lxpxh</w:t>
            </w:r>
            <w:proofErr w:type="spellEnd"/>
            <w:r w:rsidRPr="008412AA">
              <w:rPr>
                <w:rFonts w:ascii="Calibri" w:eastAsia="Times New Roman" w:hAnsi="Calibri" w:cs="Calibri"/>
                <w:color w:val="000000"/>
                <w:lang w:eastAsia="it-IT"/>
              </w:rPr>
              <w:t>) in cm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Calibri"/>
                <w:color w:val="000000"/>
                <w:lang w:eastAsia="it-IT"/>
              </w:rPr>
              <w:t>Trasportabilità sistema (se si descrivere)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Calibri"/>
                <w:color w:val="000000"/>
                <w:lang w:eastAsia="it-IT"/>
              </w:rPr>
              <w:t>Alimentazione elettrica (monofase, trifase)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Calibri"/>
                <w:color w:val="000000"/>
                <w:lang w:eastAsia="it-IT"/>
              </w:rPr>
              <w:t>Potenza elettrica assorbita in stand-by e in funzionamento (kW)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9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Necessità di continuità dell' alimentazione elettrica e presenza in offerta (gruppo di continuità, stabilizzatore, …)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Classificazione ambiente di installazione (</w:t>
            </w:r>
            <w:proofErr w:type="spellStart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rif</w:t>
            </w:r>
            <w:proofErr w:type="spellEnd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: norma CEI 64-8)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Peso totale (kg)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Distribuzione del carico (kg/m</w:t>
            </w:r>
            <w:r w:rsidRPr="008412AA">
              <w:rPr>
                <w:rFonts w:ascii="Verdana" w:eastAsia="Times New Roman" w:hAnsi="Verdana" w:cs="Times New Roman"/>
                <w:color w:val="000000"/>
                <w:vertAlign w:val="superscript"/>
                <w:lang w:eastAsia="it-IT"/>
              </w:rPr>
              <w:t>2</w:t>
            </w:r>
            <w:r w:rsidRPr="008412AA">
              <w:rPr>
                <w:rFonts w:ascii="Verdana" w:eastAsia="Times New Roman" w:hAnsi="Verdana" w:cs="Times New Roman"/>
                <w:color w:val="000000"/>
                <w:lang w:eastAsia="it-IT"/>
              </w:rPr>
              <w:t>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Superficie necessaria all’installazione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Opere murarie/strutturali necessarie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Necessità di particolari condizioni ambientali: temperatura, umidità, aerazione o altro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9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Necessità di particolari condizioni di installazione/funzionamento: bombole, fluidi o altro (descrivere)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Protezioni introdotte in caso di mancanza accidentale di alimentazione di rete: riarmo automatico o manuale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Calore disperso nell’ambiente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Esigenza di alimentazione stabilizzata entro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Esigenza di alimentazione ininterrotta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Misure protezionistiche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9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lastRenderedPageBreak/>
              <w:t>SICUREZZA PRIVACY</w:t>
            </w: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br/>
              <w:t>(descrizione delle misure minime attuate richieste dal codice della privacy,nelle seguenti aree)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Rispondenza al </w:t>
            </w:r>
            <w:proofErr w:type="spellStart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D.G.P.R.</w:t>
            </w:r>
            <w:proofErr w:type="spellEnd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2016/679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GARANZIA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Durata della garanzia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Fornitura muletto durante il periodo di garanzia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MANUTENZIONE CORRETTIVA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Numero di anni garantiti per la disponibilità dei pezzi di ricambio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Parti Considerate fuori contratto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Listino Prezzi delle parti di ricambio e delle parti fuori contratto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Tempo di consegna parti di ricambio in contratto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Tempo di consegna parti di ricambio fuori contratto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Tempo di intervento su chiamata (h lavorative dalla chiamata)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Tempo di risoluzione provvisoria (h giornaliere dall'inizio dell'intervento)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Tempo di risoluzione definitiva (h giornaliere dall'inizio dell'intervento)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Numero di tecnici con esperienza specifica sull’apparecchiatura (Italia)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MANUTENZIONE PREVENTIVA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Manutenzione generale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Controlli di qualità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Verifiche di sicurezza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Sostituzioni parti difettose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Aggiornamento del </w:t>
            </w:r>
            <w:proofErr w:type="spellStart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sw</w:t>
            </w:r>
            <w:proofErr w:type="spellEnd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in caso di nuove </w:t>
            </w:r>
            <w:proofErr w:type="spellStart"/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release</w:t>
            </w:r>
            <w:proofErr w:type="spellEnd"/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FORMAZIONE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Addestramento del personale medico e tecnico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Addestramento del personale tecnico incaricato dall'azienda della manutenzione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ALTRE CARATTERISTICHE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AA" w:rsidRPr="008412AA" w:rsidRDefault="008412AA" w:rsidP="00841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RISPOSTA </w:t>
            </w:r>
          </w:p>
        </w:tc>
      </w:tr>
      <w:tr w:rsidR="008412AA" w:rsidRPr="008412AA" w:rsidTr="008412AA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Numero delle installazioni in Italia ed Europa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Indicare le installazioni in ambito regionale (specificare reparto, ospedale, anno vendita)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412AA" w:rsidRPr="008412AA" w:rsidTr="008412AA">
        <w:trPr>
          <w:trHeight w:val="6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Numero di apparecchiature vendute in Italia ed Europa nell'ultimo anno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AA" w:rsidRPr="008412AA" w:rsidRDefault="008412AA" w:rsidP="008412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412AA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</w:tbl>
    <w:p w:rsidR="002D0363" w:rsidRDefault="002D0363"/>
    <w:sectPr w:rsidR="002D0363" w:rsidSect="00E4292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8412AA"/>
    <w:rsid w:val="002D0363"/>
    <w:rsid w:val="008412AA"/>
    <w:rsid w:val="00AC41E1"/>
    <w:rsid w:val="00E42928"/>
    <w:rsid w:val="00FE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036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766</Words>
  <Characters>4371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dianamatilde</dc:creator>
  <cp:lastModifiedBy>dianamatilde</cp:lastModifiedBy>
  <cp:revision>3</cp:revision>
  <dcterms:created xsi:type="dcterms:W3CDTF">2018-11-15T15:04:00Z</dcterms:created>
  <dcterms:modified xsi:type="dcterms:W3CDTF">2018-11-20T09:53:00Z</dcterms:modified>
</cp:coreProperties>
</file>